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496C" w14:textId="77777777" w:rsidR="00DA3C05" w:rsidRPr="00F13241" w:rsidRDefault="00DA3C05" w:rsidP="00DA3C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24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C3BA" wp14:editId="70F9A5FC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5996940" cy="1260475"/>
                <wp:effectExtent l="0" t="0" r="22860" b="1587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1260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D6303" id="Rectángulo: esquinas redondeadas 2" o:spid="_x0000_s1026" style="position:absolute;margin-left:-4.05pt;margin-top:.65pt;width:472.2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" filled="f" strokecolor="#843c0c" strokeweight="1.5pt">
                <v:stroke joinstyle="miter"/>
                <v:path arrowok="t"/>
              </v:roundrect>
            </w:pict>
          </mc:Fallback>
        </mc:AlternateContent>
      </w:r>
      <w:r w:rsidRPr="00F13241">
        <w:rPr>
          <w:rFonts w:ascii="Arial" w:hAnsi="Arial" w:cs="Arial"/>
          <w:b/>
          <w:sz w:val="24"/>
          <w:szCs w:val="24"/>
        </w:rPr>
        <w:t>Importante</w:t>
      </w:r>
    </w:p>
    <w:p w14:paraId="6A586B28" w14:textId="77777777" w:rsidR="00DA3C05" w:rsidRDefault="00DA3C05" w:rsidP="00DA3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3241">
        <w:rPr>
          <w:rFonts w:ascii="Arial" w:hAnsi="Arial" w:cs="Arial"/>
          <w:sz w:val="24"/>
          <w:szCs w:val="24"/>
          <w:highlight w:val="yellow"/>
        </w:rPr>
        <w:t xml:space="preserve">La Secretaría Ejecutiva como órgano de apoyo técnico y con la finalidad de coadyuvar con la implementación y fortalecimiento de los Sistemas Municipales Anticorrupción, elaboró el siguiente documento de manera ilustrativa y ejemplificativa, el cual es de carácter orientador, por lo que su uso quedará a </w:t>
      </w:r>
      <w:r w:rsidRPr="00D86D80">
        <w:rPr>
          <w:rFonts w:ascii="Arial" w:hAnsi="Arial" w:cs="Arial"/>
          <w:sz w:val="24"/>
          <w:szCs w:val="24"/>
          <w:highlight w:val="yellow"/>
        </w:rPr>
        <w:t>criterio de las Autoridades Municipales</w:t>
      </w:r>
    </w:p>
    <w:p w14:paraId="5D13BCD7" w14:textId="77777777" w:rsidR="00DA3C05" w:rsidRDefault="00DA3C05" w:rsidP="00DA3C05">
      <w:pPr>
        <w:jc w:val="center"/>
        <w:rPr>
          <w:rFonts w:ascii="Arial" w:hAnsi="Arial" w:cs="Arial"/>
          <w:b/>
          <w:lang w:val="es-ES"/>
        </w:rPr>
      </w:pPr>
    </w:p>
    <w:p w14:paraId="59405FBE" w14:textId="77777777" w:rsidR="00DA3C05" w:rsidRPr="00F13241" w:rsidRDefault="00DA3C05" w:rsidP="00DA3C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241">
        <w:rPr>
          <w:rFonts w:ascii="Arial" w:hAnsi="Arial" w:cs="Arial"/>
          <w:b/>
          <w:sz w:val="24"/>
          <w:szCs w:val="24"/>
          <w:highlight w:val="yellow"/>
        </w:rPr>
        <w:t>Las características del presente documento ejemplo pueden variar dependiendo de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cada</w:t>
      </w:r>
      <w:r w:rsidRPr="00F13241">
        <w:rPr>
          <w:rFonts w:ascii="Arial" w:hAnsi="Arial" w:cs="Arial"/>
          <w:b/>
          <w:sz w:val="24"/>
          <w:szCs w:val="24"/>
          <w:highlight w:val="yellow"/>
        </w:rPr>
        <w:t xml:space="preserve"> municipio</w:t>
      </w:r>
      <w:r w:rsidRPr="00F13241">
        <w:rPr>
          <w:rFonts w:ascii="Arial" w:hAnsi="Arial" w:cs="Arial"/>
          <w:b/>
          <w:sz w:val="24"/>
          <w:szCs w:val="24"/>
        </w:rPr>
        <w:t>.</w:t>
      </w:r>
    </w:p>
    <w:p w14:paraId="15A5DB7C" w14:textId="77777777" w:rsidR="006E6482" w:rsidRDefault="006E6482" w:rsidP="00685313">
      <w:pPr>
        <w:spacing w:line="276" w:lineRule="auto"/>
        <w:jc w:val="center"/>
        <w:rPr>
          <w:rFonts w:ascii="Arial" w:hAnsi="Arial" w:cs="Arial"/>
          <w:b/>
        </w:rPr>
      </w:pPr>
    </w:p>
    <w:p w14:paraId="16E1E743" w14:textId="77777777" w:rsidR="007922C3" w:rsidRDefault="00685313" w:rsidP="00685313">
      <w:pPr>
        <w:spacing w:line="276" w:lineRule="auto"/>
        <w:jc w:val="center"/>
        <w:rPr>
          <w:rFonts w:ascii="Arial" w:hAnsi="Arial" w:cs="Arial"/>
          <w:b/>
        </w:rPr>
      </w:pPr>
      <w:r w:rsidRPr="00685313">
        <w:rPr>
          <w:rFonts w:ascii="Arial" w:hAnsi="Arial" w:cs="Arial"/>
          <w:b/>
        </w:rPr>
        <w:t>LINEAMIENTOS DEL COMITÉ COORDINADOR DEL SISTEMA MUNICIPAL ANTICORRUPCIÓN</w:t>
      </w:r>
      <w:r w:rsidR="0067185B">
        <w:rPr>
          <w:rFonts w:ascii="Arial" w:hAnsi="Arial" w:cs="Arial"/>
          <w:b/>
        </w:rPr>
        <w:t xml:space="preserve"> DE ---------------------</w:t>
      </w:r>
    </w:p>
    <w:p w14:paraId="7371A631" w14:textId="77777777" w:rsidR="00685313" w:rsidRDefault="00685313" w:rsidP="006853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1. </w:t>
      </w:r>
      <w:r w:rsidRPr="00685313">
        <w:rPr>
          <w:rFonts w:ascii="Arial" w:hAnsi="Arial" w:cs="Arial"/>
        </w:rPr>
        <w:t>Los presentes lineamientos tiene</w:t>
      </w:r>
      <w:r>
        <w:rPr>
          <w:rFonts w:ascii="Arial" w:hAnsi="Arial" w:cs="Arial"/>
        </w:rPr>
        <w:t>n</w:t>
      </w:r>
      <w:r w:rsidRPr="00685313">
        <w:rPr>
          <w:rFonts w:ascii="Arial" w:hAnsi="Arial" w:cs="Arial"/>
        </w:rPr>
        <w:t xml:space="preserve"> por objeto </w:t>
      </w:r>
      <w:r w:rsidR="00250132">
        <w:rPr>
          <w:rFonts w:ascii="Arial" w:hAnsi="Arial" w:cs="Arial"/>
        </w:rPr>
        <w:t xml:space="preserve">establecer los mecanismos para la efectiva </w:t>
      </w:r>
      <w:r w:rsidRPr="00685313">
        <w:rPr>
          <w:rFonts w:ascii="Arial" w:hAnsi="Arial" w:cs="Arial"/>
        </w:rPr>
        <w:t xml:space="preserve">coordinación </w:t>
      </w:r>
      <w:r w:rsidR="00250132">
        <w:rPr>
          <w:rFonts w:ascii="Arial" w:hAnsi="Arial" w:cs="Arial"/>
        </w:rPr>
        <w:t>entre los integrantes del Comité Coordinador del Sistema Municipal Anticorrupción</w:t>
      </w:r>
      <w:r w:rsidR="0067185B">
        <w:rPr>
          <w:rFonts w:ascii="Arial" w:hAnsi="Arial" w:cs="Arial"/>
        </w:rPr>
        <w:t xml:space="preserve"> de -------------</w:t>
      </w:r>
      <w:r w:rsidR="00250132">
        <w:rPr>
          <w:rFonts w:ascii="Arial" w:hAnsi="Arial" w:cs="Arial"/>
        </w:rPr>
        <w:t xml:space="preserve"> </w:t>
      </w:r>
      <w:r w:rsidRPr="00685313">
        <w:rPr>
          <w:rFonts w:ascii="Arial" w:hAnsi="Arial" w:cs="Arial"/>
        </w:rPr>
        <w:t>a que se refiere la Constitución Política del Estado Libre y Soberano de México y la Ley del sistema Anticorrupción del Estado de México</w:t>
      </w:r>
      <w:r>
        <w:rPr>
          <w:rFonts w:ascii="Arial" w:hAnsi="Arial" w:cs="Arial"/>
        </w:rPr>
        <w:t xml:space="preserve"> y Municipios.</w:t>
      </w:r>
    </w:p>
    <w:p w14:paraId="6A01901F" w14:textId="77777777" w:rsidR="00685313" w:rsidRDefault="00685313" w:rsidP="00685313">
      <w:pPr>
        <w:spacing w:line="276" w:lineRule="auto"/>
        <w:jc w:val="both"/>
        <w:rPr>
          <w:rFonts w:ascii="Arial" w:hAnsi="Arial" w:cs="Arial"/>
        </w:rPr>
      </w:pPr>
      <w:r w:rsidRPr="00685313">
        <w:rPr>
          <w:rFonts w:ascii="Arial" w:hAnsi="Arial" w:cs="Arial"/>
          <w:b/>
        </w:rPr>
        <w:t xml:space="preserve">ARTÍCULO 2. </w:t>
      </w:r>
      <w:r>
        <w:rPr>
          <w:rFonts w:ascii="Arial" w:hAnsi="Arial" w:cs="Arial"/>
        </w:rPr>
        <w:t>Para efectos de los presentes Lineamientos se entenderá por:</w:t>
      </w:r>
    </w:p>
    <w:p w14:paraId="5902EBDF" w14:textId="77777777" w:rsidR="00685313" w:rsidRDefault="00685313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250132">
        <w:rPr>
          <w:rFonts w:ascii="Arial" w:hAnsi="Arial" w:cs="Arial"/>
          <w:b/>
        </w:rPr>
        <w:t>Comité</w:t>
      </w:r>
      <w:r w:rsidR="004A309A">
        <w:rPr>
          <w:rFonts w:ascii="Arial" w:hAnsi="Arial" w:cs="Arial"/>
          <w:b/>
        </w:rPr>
        <w:t xml:space="preserve">: </w:t>
      </w:r>
      <w:r w:rsidR="004A309A" w:rsidRPr="004A309A">
        <w:rPr>
          <w:rFonts w:ascii="Arial" w:hAnsi="Arial" w:cs="Arial"/>
        </w:rPr>
        <w:t xml:space="preserve">Al Comité </w:t>
      </w:r>
      <w:r w:rsidRPr="004A309A">
        <w:rPr>
          <w:rFonts w:ascii="Arial" w:hAnsi="Arial" w:cs="Arial"/>
        </w:rPr>
        <w:t>Coordinador del Sistema Municipal Anticorrupción</w:t>
      </w:r>
      <w:r w:rsidR="004A309A">
        <w:rPr>
          <w:rFonts w:ascii="Arial" w:hAnsi="Arial" w:cs="Arial"/>
        </w:rPr>
        <w:t xml:space="preserve"> de --------------,</w:t>
      </w:r>
      <w:r>
        <w:rPr>
          <w:rFonts w:ascii="Arial" w:hAnsi="Arial" w:cs="Arial"/>
        </w:rPr>
        <w:t xml:space="preserve"> instancia encargada de la coordinación y eficacia del </w:t>
      </w:r>
      <w:r w:rsidR="006718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istema Municipal Anticorrupción </w:t>
      </w:r>
      <w:r w:rsidR="0067185B">
        <w:rPr>
          <w:rFonts w:ascii="Arial" w:hAnsi="Arial" w:cs="Arial"/>
        </w:rPr>
        <w:t xml:space="preserve">de -------------------- </w:t>
      </w:r>
      <w:r>
        <w:rPr>
          <w:rFonts w:ascii="Arial" w:hAnsi="Arial" w:cs="Arial"/>
        </w:rPr>
        <w:t xml:space="preserve">a que se refiere la Constitución Política del Estado Libre y </w:t>
      </w:r>
      <w:r w:rsidR="0067185B">
        <w:rPr>
          <w:rFonts w:ascii="Arial" w:hAnsi="Arial" w:cs="Arial"/>
        </w:rPr>
        <w:t>S</w:t>
      </w:r>
      <w:r>
        <w:rPr>
          <w:rFonts w:ascii="Arial" w:hAnsi="Arial" w:cs="Arial"/>
        </w:rPr>
        <w:t>oberano de México;</w:t>
      </w:r>
    </w:p>
    <w:p w14:paraId="601FB874" w14:textId="77777777" w:rsidR="00685313" w:rsidRDefault="00685313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Comité de Participación Ciudadana</w:t>
      </w:r>
      <w:r w:rsidR="0067185B">
        <w:rPr>
          <w:rFonts w:ascii="Arial" w:hAnsi="Arial" w:cs="Arial"/>
          <w:b/>
        </w:rPr>
        <w:t xml:space="preserve"> Municipal</w:t>
      </w:r>
      <w:r w:rsidRPr="00685313">
        <w:rPr>
          <w:rFonts w:ascii="Arial" w:hAnsi="Arial" w:cs="Arial"/>
        </w:rPr>
        <w:t xml:space="preserve">: a la instancia colegiada a nivel municipal a que se refiere la Constitución Política del Estado Libre y Soberano de México, el cual contará con las facultades que establece la Ley del </w:t>
      </w:r>
      <w:r w:rsidR="0067185B">
        <w:rPr>
          <w:rFonts w:ascii="Arial" w:hAnsi="Arial" w:cs="Arial"/>
        </w:rPr>
        <w:t>S</w:t>
      </w:r>
      <w:r w:rsidRPr="00685313">
        <w:rPr>
          <w:rFonts w:ascii="Arial" w:hAnsi="Arial" w:cs="Arial"/>
        </w:rPr>
        <w:t>istema Anticorrupción del Estado de México y Municipios</w:t>
      </w:r>
      <w:r>
        <w:rPr>
          <w:rFonts w:ascii="Arial" w:hAnsi="Arial" w:cs="Arial"/>
        </w:rPr>
        <w:t xml:space="preserve">; </w:t>
      </w:r>
    </w:p>
    <w:p w14:paraId="3BF4304E" w14:textId="77777777" w:rsidR="00685313" w:rsidRDefault="00685313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Convocatoria:</w:t>
      </w:r>
      <w:r>
        <w:rPr>
          <w:rFonts w:ascii="Arial" w:hAnsi="Arial" w:cs="Arial"/>
        </w:rPr>
        <w:t xml:space="preserve"> documento por el que el Presidente del Comité Coordinador del Sistema municipal Anticorrupción, llama a participar en una sesión del Comité Coordinador del Sistema </w:t>
      </w:r>
      <w:r w:rsidR="0067185B">
        <w:rPr>
          <w:rFonts w:ascii="Arial" w:hAnsi="Arial" w:cs="Arial"/>
        </w:rPr>
        <w:t>M</w:t>
      </w:r>
      <w:r>
        <w:rPr>
          <w:rFonts w:ascii="Arial" w:hAnsi="Arial" w:cs="Arial"/>
        </w:rPr>
        <w:t>unicipal Anticorrupción;</w:t>
      </w:r>
    </w:p>
    <w:p w14:paraId="21EDE4F9" w14:textId="77777777" w:rsidR="00685313" w:rsidRDefault="00685313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Contraloría:</w:t>
      </w:r>
      <w:r>
        <w:rPr>
          <w:rFonts w:ascii="Arial" w:hAnsi="Arial" w:cs="Arial"/>
        </w:rPr>
        <w:t xml:space="preserve"> a la Contraloría Municipal de ---------------.</w:t>
      </w:r>
    </w:p>
    <w:p w14:paraId="3E75E69E" w14:textId="77777777" w:rsidR="00B70750" w:rsidRDefault="00685313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Entes públicos:</w:t>
      </w:r>
      <w:r>
        <w:rPr>
          <w:rFonts w:ascii="Arial" w:hAnsi="Arial" w:cs="Arial"/>
        </w:rPr>
        <w:t xml:space="preserve"> </w:t>
      </w:r>
      <w:r w:rsidR="00B707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los Poderes Ejecutivo, Legislativo y Judicial del Estado de México, los organismos constitucionales autónomos, las dependencias y organismos auxiliares de la Administración Pública Estatal, los municipio</w:t>
      </w:r>
      <w:r w:rsidR="00712627">
        <w:rPr>
          <w:rFonts w:ascii="Arial" w:hAnsi="Arial" w:cs="Arial"/>
        </w:rPr>
        <w:t>s</w:t>
      </w:r>
      <w:r>
        <w:rPr>
          <w:rFonts w:ascii="Arial" w:hAnsi="Arial" w:cs="Arial"/>
        </w:rPr>
        <w:t>, los órganos jurisdiccionales que no forman parte del Poder Judicial del Estado de México, las empresas de participación estatal y municipal así como cualquier otro ente sobre el que tenga control cualquiera de los poderes y órganos públicos señalados a nivel Estatal y Municipal.</w:t>
      </w:r>
    </w:p>
    <w:p w14:paraId="4C1D2426" w14:textId="77777777" w:rsidR="00B70750" w:rsidRDefault="00B70750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Entes públicos fiscalizadores</w:t>
      </w:r>
      <w:r>
        <w:rPr>
          <w:rFonts w:ascii="Arial" w:hAnsi="Arial" w:cs="Arial"/>
        </w:rPr>
        <w:t>: Al Órgano Superior de Fiscalización del Estado de México, la Contraloría del Pode</w:t>
      </w:r>
      <w:r w:rsidR="0071262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Legislativo del Estado de México, la Secretaría de la Contraloría del Gobierno del Estado de México, la Contraloría Municipal y los órganos internos de control de los entes públicos; </w:t>
      </w:r>
    </w:p>
    <w:p w14:paraId="15009D19" w14:textId="77777777" w:rsidR="00B70750" w:rsidRDefault="00B70750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lastRenderedPageBreak/>
        <w:t>Ley:</w:t>
      </w:r>
      <w:r>
        <w:rPr>
          <w:rFonts w:ascii="Arial" w:hAnsi="Arial" w:cs="Arial"/>
        </w:rPr>
        <w:t xml:space="preserve"> a la </w:t>
      </w:r>
      <w:r w:rsidRPr="00685313">
        <w:rPr>
          <w:rFonts w:ascii="Arial" w:hAnsi="Arial" w:cs="Arial"/>
        </w:rPr>
        <w:t xml:space="preserve">Ley del </w:t>
      </w:r>
      <w:r w:rsidR="00712627">
        <w:rPr>
          <w:rFonts w:ascii="Arial" w:hAnsi="Arial" w:cs="Arial"/>
        </w:rPr>
        <w:t>S</w:t>
      </w:r>
      <w:r w:rsidRPr="00685313">
        <w:rPr>
          <w:rFonts w:ascii="Arial" w:hAnsi="Arial" w:cs="Arial"/>
        </w:rPr>
        <w:t>istema Anticorrupción del Estado de México y Municipios</w:t>
      </w:r>
      <w:r>
        <w:rPr>
          <w:rFonts w:ascii="Arial" w:hAnsi="Arial" w:cs="Arial"/>
        </w:rPr>
        <w:t>;</w:t>
      </w:r>
    </w:p>
    <w:p w14:paraId="53979302" w14:textId="77777777" w:rsidR="00B70750" w:rsidRDefault="00B70750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Lineamientos:</w:t>
      </w:r>
      <w:r>
        <w:rPr>
          <w:rFonts w:ascii="Arial" w:hAnsi="Arial" w:cs="Arial"/>
        </w:rPr>
        <w:t xml:space="preserve"> </w:t>
      </w:r>
      <w:r w:rsidR="004826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los Lineamientos del Comité Coordinador del Sistema Municipal Anticorrupción</w:t>
      </w:r>
      <w:r w:rsidR="0067185B">
        <w:rPr>
          <w:rFonts w:ascii="Arial" w:hAnsi="Arial" w:cs="Arial"/>
        </w:rPr>
        <w:t xml:space="preserve"> de -------------------</w:t>
      </w:r>
      <w:r>
        <w:rPr>
          <w:rFonts w:ascii="Arial" w:hAnsi="Arial" w:cs="Arial"/>
        </w:rPr>
        <w:t>;</w:t>
      </w:r>
    </w:p>
    <w:p w14:paraId="78EFA624" w14:textId="77777777" w:rsidR="001E63FF" w:rsidRDefault="00B70750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7185B">
        <w:rPr>
          <w:rFonts w:ascii="Arial" w:hAnsi="Arial" w:cs="Arial"/>
          <w:b/>
        </w:rPr>
        <w:t>Sistema Municipal Anticorrupción:</w:t>
      </w:r>
      <w:r>
        <w:rPr>
          <w:rFonts w:ascii="Arial" w:hAnsi="Arial" w:cs="Arial"/>
        </w:rPr>
        <w:t xml:space="preserve"> Conjunto de </w:t>
      </w:r>
      <w:r w:rsidR="0071262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ecanismos </w:t>
      </w:r>
      <w:r w:rsidR="007126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nterinstitucionales de </w:t>
      </w:r>
      <w:r w:rsidR="00712627">
        <w:rPr>
          <w:rFonts w:ascii="Arial" w:hAnsi="Arial" w:cs="Arial"/>
        </w:rPr>
        <w:t>c</w:t>
      </w:r>
      <w:r>
        <w:rPr>
          <w:rFonts w:ascii="Arial" w:hAnsi="Arial" w:cs="Arial"/>
        </w:rPr>
        <w:t>oordinación entre las dependencias de la administración pública municipal</w:t>
      </w:r>
      <w:r w:rsidR="004A309A">
        <w:rPr>
          <w:rFonts w:ascii="Arial" w:hAnsi="Arial" w:cs="Arial"/>
        </w:rPr>
        <w:t xml:space="preserve"> de --------------</w:t>
      </w:r>
      <w:r w:rsidR="001E63FF">
        <w:rPr>
          <w:rFonts w:ascii="Arial" w:hAnsi="Arial" w:cs="Arial"/>
        </w:rPr>
        <w:t>, que tienen por objeto el combate a la corrupción; y</w:t>
      </w:r>
    </w:p>
    <w:p w14:paraId="1CC59AEE" w14:textId="77777777" w:rsidR="001E63FF" w:rsidRDefault="001E63FF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4A309A">
        <w:rPr>
          <w:rFonts w:ascii="Arial" w:hAnsi="Arial" w:cs="Arial"/>
          <w:b/>
        </w:rPr>
        <w:t>Unidad de Transparencia</w:t>
      </w:r>
      <w:r w:rsidR="004826BA" w:rsidRPr="004A309A">
        <w:rPr>
          <w:rFonts w:ascii="Arial" w:hAnsi="Arial" w:cs="Arial"/>
          <w:b/>
        </w:rPr>
        <w:t xml:space="preserve"> y Acceso a la Información</w:t>
      </w:r>
      <w:r w:rsidR="004A309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 la Unidad de Transparencia de ----------; </w:t>
      </w:r>
    </w:p>
    <w:p w14:paraId="63D56D02" w14:textId="77777777" w:rsidR="00F03E69" w:rsidRDefault="00F03E69" w:rsidP="00A05913">
      <w:pPr>
        <w:pStyle w:val="Prrafodelista"/>
        <w:numPr>
          <w:ilvl w:val="0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Secretario:</w:t>
      </w:r>
      <w:r>
        <w:rPr>
          <w:rFonts w:ascii="Arial" w:hAnsi="Arial" w:cs="Arial"/>
        </w:rPr>
        <w:t xml:space="preserve"> al Secretario del Comité </w:t>
      </w:r>
      <w:r w:rsidR="00D46E42">
        <w:rPr>
          <w:rFonts w:ascii="Arial" w:hAnsi="Arial" w:cs="Arial"/>
        </w:rPr>
        <w:t>Coordinador</w:t>
      </w:r>
      <w:r>
        <w:rPr>
          <w:rFonts w:ascii="Arial" w:hAnsi="Arial" w:cs="Arial"/>
        </w:rPr>
        <w:t xml:space="preserve"> del Sistema Municipal Anticorrupción de -----------, quien deberá ser elegido de entre sus integrantes con excepción del Presidente.</w:t>
      </w:r>
    </w:p>
    <w:p w14:paraId="0DC3C9AF" w14:textId="77777777" w:rsidR="001E63FF" w:rsidRPr="001E63FF" w:rsidRDefault="001E63FF" w:rsidP="001E63FF">
      <w:pPr>
        <w:pStyle w:val="Prrafodelista"/>
        <w:rPr>
          <w:rFonts w:ascii="Arial" w:hAnsi="Arial" w:cs="Arial"/>
        </w:rPr>
      </w:pPr>
    </w:p>
    <w:p w14:paraId="2B1CFDE4" w14:textId="77777777" w:rsidR="001E63FF" w:rsidRDefault="001E63FF" w:rsidP="001E63FF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14:paraId="1244D9F7" w14:textId="77777777" w:rsidR="00685313" w:rsidRPr="001E63FF" w:rsidRDefault="001E63FF" w:rsidP="001E63FF">
      <w:pPr>
        <w:pStyle w:val="Prrafodelista"/>
        <w:spacing w:line="276" w:lineRule="auto"/>
        <w:ind w:left="1080"/>
        <w:jc w:val="center"/>
        <w:rPr>
          <w:rFonts w:ascii="Arial" w:hAnsi="Arial" w:cs="Arial"/>
          <w:b/>
        </w:rPr>
      </w:pPr>
      <w:r w:rsidRPr="001E63FF">
        <w:rPr>
          <w:rFonts w:ascii="Arial" w:hAnsi="Arial" w:cs="Arial"/>
          <w:b/>
        </w:rPr>
        <w:t>Capítulo Segundo</w:t>
      </w:r>
    </w:p>
    <w:p w14:paraId="766A8CCD" w14:textId="77777777" w:rsidR="00685313" w:rsidRDefault="001E63FF" w:rsidP="001E63FF">
      <w:pPr>
        <w:pStyle w:val="Prrafodelista"/>
        <w:spacing w:line="276" w:lineRule="auto"/>
        <w:ind w:left="1080"/>
        <w:jc w:val="center"/>
        <w:rPr>
          <w:rFonts w:ascii="Arial" w:hAnsi="Arial" w:cs="Arial"/>
          <w:b/>
        </w:rPr>
      </w:pPr>
      <w:r w:rsidRPr="001E63FF">
        <w:rPr>
          <w:rFonts w:ascii="Arial" w:hAnsi="Arial" w:cs="Arial"/>
          <w:b/>
        </w:rPr>
        <w:t>De los integrantes y funciones del Comité Coordinador del Sistema Municipal Anticorrupción</w:t>
      </w:r>
    </w:p>
    <w:p w14:paraId="70A89DE3" w14:textId="77777777" w:rsidR="001E63FF" w:rsidRDefault="001E63FF" w:rsidP="001E63FF">
      <w:pPr>
        <w:pStyle w:val="Prrafodelista"/>
        <w:spacing w:line="276" w:lineRule="auto"/>
        <w:ind w:left="1080"/>
        <w:rPr>
          <w:rFonts w:ascii="Arial" w:hAnsi="Arial" w:cs="Arial"/>
          <w:b/>
        </w:rPr>
      </w:pPr>
    </w:p>
    <w:p w14:paraId="0FBE12C4" w14:textId="77777777" w:rsidR="001E63FF" w:rsidRPr="001E63FF" w:rsidRDefault="001E63FF" w:rsidP="001E63FF">
      <w:pPr>
        <w:spacing w:line="276" w:lineRule="auto"/>
        <w:jc w:val="both"/>
        <w:rPr>
          <w:rFonts w:ascii="Arial" w:hAnsi="Arial" w:cs="Arial"/>
        </w:rPr>
      </w:pPr>
      <w:r w:rsidRPr="001E63FF">
        <w:rPr>
          <w:rFonts w:ascii="Arial" w:hAnsi="Arial" w:cs="Arial"/>
          <w:b/>
        </w:rPr>
        <w:t>ARTÍCULO 3</w:t>
      </w:r>
      <w:r w:rsidRPr="001E63FF">
        <w:rPr>
          <w:rFonts w:ascii="Arial" w:hAnsi="Arial" w:cs="Arial"/>
        </w:rPr>
        <w:t xml:space="preserve">. El Comité Coordinador </w:t>
      </w:r>
      <w:r>
        <w:rPr>
          <w:rFonts w:ascii="Arial" w:hAnsi="Arial" w:cs="Arial"/>
        </w:rPr>
        <w:t xml:space="preserve">del Sistema </w:t>
      </w:r>
      <w:r w:rsidRPr="001E63FF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Anticorrupción</w:t>
      </w:r>
      <w:r w:rsidRPr="001E6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estará integrado por</w:t>
      </w:r>
      <w:r w:rsidRPr="001E63FF">
        <w:rPr>
          <w:rFonts w:ascii="Arial" w:hAnsi="Arial" w:cs="Arial"/>
        </w:rPr>
        <w:t>:</w:t>
      </w:r>
    </w:p>
    <w:p w14:paraId="09E2A214" w14:textId="77777777" w:rsidR="001E63FF" w:rsidRPr="001E63FF" w:rsidRDefault="001E63FF" w:rsidP="00A05913">
      <w:pPr>
        <w:pStyle w:val="Prrafodelista"/>
        <w:numPr>
          <w:ilvl w:val="0"/>
          <w:numId w:val="2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1E63FF">
        <w:rPr>
          <w:rFonts w:ascii="Arial" w:hAnsi="Arial" w:cs="Arial"/>
        </w:rPr>
        <w:t xml:space="preserve">El titular de la </w:t>
      </w:r>
      <w:r w:rsidRPr="001E63FF">
        <w:rPr>
          <w:rStyle w:val="highlight"/>
          <w:rFonts w:ascii="Arial" w:hAnsi="Arial" w:cs="Arial"/>
        </w:rPr>
        <w:t>contraloría mu</w:t>
      </w:r>
      <w:r w:rsidRPr="001E63FF">
        <w:rPr>
          <w:rFonts w:ascii="Arial" w:hAnsi="Arial" w:cs="Arial"/>
        </w:rPr>
        <w:t>nicipal.</w:t>
      </w:r>
    </w:p>
    <w:p w14:paraId="56708792" w14:textId="77777777" w:rsidR="001E63FF" w:rsidRPr="001E63FF" w:rsidRDefault="001E63FF" w:rsidP="00A05913">
      <w:pPr>
        <w:pStyle w:val="Prrafodelista"/>
        <w:numPr>
          <w:ilvl w:val="0"/>
          <w:numId w:val="2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1E63FF">
        <w:rPr>
          <w:rFonts w:ascii="Arial" w:hAnsi="Arial" w:cs="Arial"/>
        </w:rPr>
        <w:t>El titular de la unidad de transparencia y acceso a la información del municipio.</w:t>
      </w:r>
    </w:p>
    <w:p w14:paraId="360DCF9F" w14:textId="77777777" w:rsidR="001E63FF" w:rsidRPr="001E63FF" w:rsidRDefault="001E63FF" w:rsidP="00A05913">
      <w:pPr>
        <w:pStyle w:val="Prrafodelista"/>
        <w:numPr>
          <w:ilvl w:val="0"/>
          <w:numId w:val="2"/>
        </w:numPr>
        <w:spacing w:line="276" w:lineRule="auto"/>
        <w:ind w:left="1134" w:hanging="708"/>
        <w:jc w:val="both"/>
        <w:rPr>
          <w:rFonts w:ascii="Arial" w:hAnsi="Arial" w:cs="Arial"/>
          <w:b/>
        </w:rPr>
      </w:pPr>
      <w:r w:rsidRPr="001E63FF">
        <w:rPr>
          <w:rFonts w:ascii="Arial" w:hAnsi="Arial" w:cs="Arial"/>
        </w:rPr>
        <w:t>Un representante del Comité de Participación Ciudadana Municipal, quien lo</w:t>
      </w:r>
      <w:r>
        <w:rPr>
          <w:rFonts w:ascii="Arial" w:hAnsi="Arial" w:cs="Arial"/>
        </w:rPr>
        <w:t xml:space="preserve"> </w:t>
      </w:r>
      <w:r w:rsidRPr="001E63FF">
        <w:rPr>
          <w:rFonts w:ascii="Arial" w:hAnsi="Arial" w:cs="Arial"/>
        </w:rPr>
        <w:t>presidirá</w:t>
      </w:r>
      <w:r>
        <w:rPr>
          <w:rFonts w:ascii="Arial" w:hAnsi="Arial" w:cs="Arial"/>
        </w:rPr>
        <w:t>.</w:t>
      </w:r>
    </w:p>
    <w:p w14:paraId="4AE2C999" w14:textId="77777777" w:rsidR="001E63FF" w:rsidRDefault="001E63FF" w:rsidP="001E63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4. </w:t>
      </w:r>
      <w:r>
        <w:rPr>
          <w:rFonts w:ascii="Arial" w:hAnsi="Arial" w:cs="Arial"/>
        </w:rPr>
        <w:t>Los integrantes del Comité tendrán derecho a voz y voto, respecto de las decisiones que el Comité deba tomar.</w:t>
      </w:r>
    </w:p>
    <w:p w14:paraId="795CCD51" w14:textId="77777777" w:rsidR="000D1CB9" w:rsidRDefault="001E63FF" w:rsidP="001E63FF">
      <w:pPr>
        <w:spacing w:line="276" w:lineRule="auto"/>
        <w:jc w:val="both"/>
        <w:rPr>
          <w:rFonts w:ascii="Arial" w:hAnsi="Arial" w:cs="Arial"/>
        </w:rPr>
      </w:pPr>
      <w:r w:rsidRPr="000D1CB9">
        <w:rPr>
          <w:rFonts w:ascii="Arial" w:hAnsi="Arial" w:cs="Arial"/>
          <w:b/>
        </w:rPr>
        <w:t>ARTÍCULO 5.</w:t>
      </w:r>
      <w:r>
        <w:rPr>
          <w:rFonts w:ascii="Arial" w:hAnsi="Arial" w:cs="Arial"/>
        </w:rPr>
        <w:t xml:space="preserve"> A las sesiones del </w:t>
      </w:r>
      <w:r w:rsidR="004A30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podrá invitarse a cualquier persona cuya intervención se considere necesaria </w:t>
      </w:r>
      <w:r w:rsidR="004826BA">
        <w:rPr>
          <w:rFonts w:ascii="Arial" w:hAnsi="Arial" w:cs="Arial"/>
        </w:rPr>
        <w:t xml:space="preserve">o relevante </w:t>
      </w:r>
      <w:r>
        <w:rPr>
          <w:rFonts w:ascii="Arial" w:hAnsi="Arial" w:cs="Arial"/>
        </w:rPr>
        <w:t>por los integrantes del mismo, para aclarar aspectos técnicos o administrativos relacionados con los asuntos sometidos a la sesión</w:t>
      </w:r>
      <w:r w:rsidR="000D1CB9">
        <w:rPr>
          <w:rFonts w:ascii="Arial" w:hAnsi="Arial" w:cs="Arial"/>
        </w:rPr>
        <w:t>.</w:t>
      </w:r>
    </w:p>
    <w:p w14:paraId="6E7DC082" w14:textId="2F2509B9" w:rsidR="00B81BEA" w:rsidRDefault="000D1CB9" w:rsidP="001E63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B81BEA">
        <w:rPr>
          <w:rFonts w:ascii="Arial" w:hAnsi="Arial" w:cs="Arial"/>
        </w:rPr>
        <w:t>Son facultades del Comité Coordinador del Sistema Municipal Anticorrupción, las siguientes:</w:t>
      </w:r>
    </w:p>
    <w:p w14:paraId="694F1BF5" w14:textId="77777777" w:rsidR="00B81BEA" w:rsidRPr="00B81BE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B81BEA">
        <w:rPr>
          <w:rFonts w:ascii="Arial" w:hAnsi="Arial" w:cs="Arial"/>
          <w:szCs w:val="25"/>
        </w:rPr>
        <w:t>El establecimiento de mecanismos de coordinación y armonización con el Sistema Estatal Anticorrupción.</w:t>
      </w:r>
    </w:p>
    <w:p w14:paraId="1AF07307" w14:textId="77777777" w:rsidR="00B81BEA" w:rsidRPr="00B81BE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B81BEA">
        <w:rPr>
          <w:rFonts w:ascii="Arial" w:hAnsi="Arial" w:cs="Arial"/>
          <w:szCs w:val="25"/>
        </w:rPr>
        <w:t>El diseño y promoción de políticas integrales en materia de prevención, control y disuasión de faltas administrativas y hechos de corrupción.</w:t>
      </w:r>
    </w:p>
    <w:p w14:paraId="15799209" w14:textId="77777777" w:rsidR="00B81BEA" w:rsidRPr="00B81BE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B81BEA">
        <w:rPr>
          <w:rFonts w:ascii="Arial" w:hAnsi="Arial" w:cs="Arial"/>
          <w:szCs w:val="25"/>
        </w:rPr>
        <w:t>Actualización y difusión de la información que sobre estas materias generen las instituciones competentes de los órdenes de gobierno;</w:t>
      </w:r>
    </w:p>
    <w:p w14:paraId="73E42979" w14:textId="77777777" w:rsidR="00B81BEA" w:rsidRPr="00B81BE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B81BEA">
        <w:rPr>
          <w:rFonts w:ascii="Arial" w:hAnsi="Arial" w:cs="Arial"/>
          <w:szCs w:val="25"/>
        </w:rPr>
        <w:t>La elaboración de un informe anual que contenga los avances y resultados del ejercicio de sus funciones y de la aplicación de políticas y programas en la materia.</w:t>
      </w:r>
    </w:p>
    <w:p w14:paraId="13180EBB" w14:textId="77777777" w:rsidR="004A309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B81BEA">
        <w:rPr>
          <w:rFonts w:ascii="Arial" w:hAnsi="Arial" w:cs="Arial"/>
          <w:szCs w:val="25"/>
        </w:rPr>
        <w:lastRenderedPageBreak/>
        <w:t xml:space="preserve">Elaboración y entrega de un informe anual al Comité Coordinador del Sistema Estatal Anticorrupción de las acciones realizadas, las políticas aplicadas y del avance de éstas con respecto del ejercicio de sus funciones, </w:t>
      </w:r>
    </w:p>
    <w:p w14:paraId="1CF9D482" w14:textId="77777777" w:rsidR="004A309A" w:rsidRDefault="004A309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>
        <w:rPr>
          <w:rFonts w:ascii="Arial" w:hAnsi="Arial" w:cs="Arial"/>
          <w:szCs w:val="25"/>
        </w:rPr>
        <w:t>I</w:t>
      </w:r>
      <w:r w:rsidR="00B81BEA" w:rsidRPr="00B81BEA">
        <w:rPr>
          <w:rFonts w:ascii="Arial" w:hAnsi="Arial" w:cs="Arial"/>
          <w:szCs w:val="25"/>
        </w:rPr>
        <w:t xml:space="preserve">nformar al </w:t>
      </w:r>
      <w:r>
        <w:rPr>
          <w:rFonts w:ascii="Arial" w:hAnsi="Arial" w:cs="Arial"/>
          <w:szCs w:val="25"/>
        </w:rPr>
        <w:t xml:space="preserve">Comité </w:t>
      </w:r>
      <w:r w:rsidRPr="00B81BEA">
        <w:rPr>
          <w:rFonts w:ascii="Arial" w:hAnsi="Arial" w:cs="Arial"/>
          <w:szCs w:val="25"/>
        </w:rPr>
        <w:t xml:space="preserve">Coordinador del Sistema Estatal Anticorrupción </w:t>
      </w:r>
      <w:r w:rsidR="00B81BEA" w:rsidRPr="00B81BEA">
        <w:rPr>
          <w:rFonts w:ascii="Arial" w:hAnsi="Arial" w:cs="Arial"/>
          <w:szCs w:val="25"/>
        </w:rPr>
        <w:t>de la probable comisión de hechos de corrupción y faltas administrativas para que en su caso, emita recomendaciones no vinculantes a las autoridades competentes, a fin de adoptar medidas dirigidas al fortalecimiento institucional para la prevención y erradicación de tales conductas.</w:t>
      </w:r>
    </w:p>
    <w:p w14:paraId="375A3806" w14:textId="77777777" w:rsidR="004A309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4A309A">
        <w:rPr>
          <w:rFonts w:ascii="Arial" w:hAnsi="Arial" w:cs="Arial"/>
          <w:szCs w:val="25"/>
        </w:rPr>
        <w:t>Emitir, a solicitud del Comité de Participación Ciudadana Municipal, exhortos públicos cuando algún hecho de corrupción requiera de aclaración pública. Los exhortos tendrán por objeto requerir a las autoridades competentes información sobre la atención al asunto de que se trate; y</w:t>
      </w:r>
    </w:p>
    <w:p w14:paraId="1B240BE2" w14:textId="77777777" w:rsidR="004A309A" w:rsidRPr="004A309A" w:rsidRDefault="00B81BEA" w:rsidP="00770A44">
      <w:pPr>
        <w:pStyle w:val="Prrafodelista"/>
        <w:numPr>
          <w:ilvl w:val="0"/>
          <w:numId w:val="9"/>
        </w:numPr>
        <w:spacing w:line="276" w:lineRule="auto"/>
        <w:ind w:left="1134" w:hanging="708"/>
        <w:jc w:val="both"/>
        <w:rPr>
          <w:rFonts w:ascii="Arial" w:hAnsi="Arial" w:cs="Arial"/>
          <w:szCs w:val="25"/>
        </w:rPr>
      </w:pPr>
      <w:r w:rsidRPr="004A309A">
        <w:rPr>
          <w:rFonts w:ascii="Arial" w:hAnsi="Arial" w:cs="Arial"/>
          <w:szCs w:val="25"/>
        </w:rPr>
        <w:t>Las demás señaladas en otros ordenamientos jurídicos</w:t>
      </w:r>
      <w:r w:rsidR="00BC4448" w:rsidRPr="004A309A">
        <w:rPr>
          <w:rFonts w:ascii="Arial" w:hAnsi="Arial" w:cs="Arial"/>
          <w:szCs w:val="25"/>
        </w:rPr>
        <w:t>.</w:t>
      </w:r>
      <w:r w:rsidRPr="004A309A">
        <w:rPr>
          <w:rFonts w:ascii="Arial" w:hAnsi="Arial" w:cs="Arial"/>
          <w:szCs w:val="25"/>
        </w:rPr>
        <w:t xml:space="preserve"> </w:t>
      </w:r>
    </w:p>
    <w:p w14:paraId="50E89E70" w14:textId="0CC24ACD" w:rsidR="000D1CB9" w:rsidRDefault="00B81BEA" w:rsidP="001E63FF">
      <w:pPr>
        <w:spacing w:line="276" w:lineRule="auto"/>
        <w:jc w:val="both"/>
        <w:rPr>
          <w:rFonts w:ascii="Arial" w:hAnsi="Arial" w:cs="Arial"/>
        </w:rPr>
      </w:pPr>
      <w:r w:rsidRPr="00B81BEA"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7</w:t>
      </w:r>
      <w:r w:rsidR="004A309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A309A">
        <w:rPr>
          <w:rFonts w:ascii="Arial" w:hAnsi="Arial" w:cs="Arial"/>
        </w:rPr>
        <w:t xml:space="preserve"> S</w:t>
      </w:r>
      <w:r w:rsidR="000D1CB9">
        <w:rPr>
          <w:rFonts w:ascii="Arial" w:hAnsi="Arial" w:cs="Arial"/>
        </w:rPr>
        <w:t>on</w:t>
      </w:r>
      <w:r w:rsidR="00BC4448">
        <w:rPr>
          <w:rFonts w:ascii="Arial" w:hAnsi="Arial" w:cs="Arial"/>
        </w:rPr>
        <w:t xml:space="preserve"> atribuciones</w:t>
      </w:r>
      <w:r w:rsidR="000D1CB9">
        <w:rPr>
          <w:rFonts w:ascii="Arial" w:hAnsi="Arial" w:cs="Arial"/>
        </w:rPr>
        <w:t xml:space="preserve"> del</w:t>
      </w:r>
      <w:r w:rsidR="004826BA">
        <w:rPr>
          <w:rFonts w:ascii="Arial" w:hAnsi="Arial" w:cs="Arial"/>
        </w:rPr>
        <w:t xml:space="preserve"> Presidente del</w:t>
      </w:r>
      <w:r w:rsidR="000D1CB9">
        <w:rPr>
          <w:rFonts w:ascii="Arial" w:hAnsi="Arial" w:cs="Arial"/>
        </w:rPr>
        <w:t xml:space="preserve"> Comité l</w:t>
      </w:r>
      <w:r w:rsidR="004A309A">
        <w:rPr>
          <w:rFonts w:ascii="Arial" w:hAnsi="Arial" w:cs="Arial"/>
        </w:rPr>
        <w:t>a</w:t>
      </w:r>
      <w:r w:rsidR="000D1CB9">
        <w:rPr>
          <w:rFonts w:ascii="Arial" w:hAnsi="Arial" w:cs="Arial"/>
        </w:rPr>
        <w:t>s siguientes:</w:t>
      </w:r>
    </w:p>
    <w:p w14:paraId="07131784" w14:textId="77777777" w:rsidR="001E63FF" w:rsidRP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Presidir las sesiones del Comité Coordinador del Sistema Municipal Anticorrupción;</w:t>
      </w:r>
    </w:p>
    <w:p w14:paraId="0279DADB" w14:textId="77777777" w:rsidR="000D1CB9" w:rsidRP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Representar al Comité;</w:t>
      </w:r>
    </w:p>
    <w:p w14:paraId="17CDA401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D1CB9">
        <w:rPr>
          <w:rFonts w:ascii="Arial" w:hAnsi="Arial" w:cs="Arial"/>
        </w:rPr>
        <w:t>Convocar a sesiones;</w:t>
      </w:r>
    </w:p>
    <w:p w14:paraId="471986CB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Dar seguimiento a los acuerdos del Comité;</w:t>
      </w:r>
    </w:p>
    <w:p w14:paraId="3954EEB7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a los integrantes del Comité sobre el seguimiento de acuerdos adoptados en las sesiones;</w:t>
      </w:r>
    </w:p>
    <w:p w14:paraId="0A56BB93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Someter a su consideración los mecanismos de coordinación y armonización con el Sistema Estatal Anticorrupción;</w:t>
      </w:r>
    </w:p>
    <w:p w14:paraId="3C66A8C1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para su aprobación el diseño y promoción de políticas integrales en materia de prevención, control y disuasión de faltas administrativas y hechos de corrupción;</w:t>
      </w:r>
    </w:p>
    <w:p w14:paraId="4964D05A" w14:textId="77777777" w:rsidR="000D1CB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Actualizar y difundir la información que sobre estas materias generen las instituciones competentes de los órdenes de gobierno; </w:t>
      </w:r>
    </w:p>
    <w:p w14:paraId="3B99D72D" w14:textId="77777777" w:rsidR="0058600D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para su aprobación el informe </w:t>
      </w:r>
      <w:r w:rsidR="0058600D">
        <w:rPr>
          <w:rFonts w:ascii="Arial" w:hAnsi="Arial" w:cs="Arial"/>
        </w:rPr>
        <w:t>anual de resultados del Comité, que contenga los avances y resultados del ejercicio de sus funciones y de la aplicación de políticas y programas en la materia;</w:t>
      </w:r>
    </w:p>
    <w:p w14:paraId="17E0A1F5" w14:textId="77777777" w:rsidR="0058600D" w:rsidRDefault="0058600D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para su aprobación y entregar al Comité Coordinador del </w:t>
      </w:r>
      <w:r w:rsidR="00F03E69">
        <w:rPr>
          <w:rFonts w:ascii="Arial" w:hAnsi="Arial" w:cs="Arial"/>
        </w:rPr>
        <w:t>S</w:t>
      </w:r>
      <w:r>
        <w:rPr>
          <w:rFonts w:ascii="Arial" w:hAnsi="Arial" w:cs="Arial"/>
        </w:rPr>
        <w:t>istema Estatal Anticorrupción el informe anual de las acciones realizadas, las políticas aplicadas y del avance de éstas con respecto del ejercicio de sus funciones;</w:t>
      </w:r>
    </w:p>
    <w:p w14:paraId="1FB1E7DB" w14:textId="77777777" w:rsidR="0058600D" w:rsidRDefault="0058600D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al Comité Coordinador del </w:t>
      </w:r>
      <w:r w:rsidR="00F03E69">
        <w:rPr>
          <w:rFonts w:ascii="Arial" w:hAnsi="Arial" w:cs="Arial"/>
        </w:rPr>
        <w:t>S</w:t>
      </w:r>
      <w:r>
        <w:rPr>
          <w:rFonts w:ascii="Arial" w:hAnsi="Arial" w:cs="Arial"/>
        </w:rPr>
        <w:t>istema Estatal Anticorrupción de la probable comisión de hechos de corrupción y faltas administrativas para que, en su caso, emita recomendaciones no vinculantes a las autoridades competentes, a fin de adoptar medidas dirigidas al fortalecimiento institucional para la prevención y erradicación de tales conductas;</w:t>
      </w:r>
    </w:p>
    <w:p w14:paraId="07188AB6" w14:textId="77777777" w:rsidR="00251EC8" w:rsidRPr="00F03E69" w:rsidRDefault="000D1CB9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F03E69">
        <w:rPr>
          <w:rFonts w:ascii="Arial" w:hAnsi="Arial" w:cs="Arial"/>
        </w:rPr>
        <w:t xml:space="preserve"> </w:t>
      </w:r>
      <w:r w:rsidR="0058600D" w:rsidRPr="00F03E69">
        <w:rPr>
          <w:rFonts w:ascii="Arial" w:hAnsi="Arial" w:cs="Arial"/>
        </w:rPr>
        <w:t>Aquellas que establezcan las reglas de funcionamiento y organización interna del Comité;</w:t>
      </w:r>
    </w:p>
    <w:p w14:paraId="538E2CE7" w14:textId="77777777" w:rsidR="00251EC8" w:rsidRDefault="00251EC8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y validar el programa anual de trabajo;</w:t>
      </w:r>
    </w:p>
    <w:p w14:paraId="105D6A05" w14:textId="77777777" w:rsidR="00251EC8" w:rsidRPr="00F03E69" w:rsidRDefault="00251EC8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F03E69">
        <w:rPr>
          <w:rFonts w:ascii="Arial" w:hAnsi="Arial" w:cs="Arial"/>
        </w:rPr>
        <w:lastRenderedPageBreak/>
        <w:t xml:space="preserve">Implementar acciones y emitir acuerdos que considere necesarios para el mejoramiento del Comité; </w:t>
      </w:r>
    </w:p>
    <w:p w14:paraId="6AB8FBF5" w14:textId="77777777" w:rsidR="00251EC8" w:rsidRDefault="00251EC8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Firmar las actas de los actos en los que haya participado; y</w:t>
      </w:r>
    </w:p>
    <w:p w14:paraId="55A6E468" w14:textId="77777777" w:rsidR="00251EC8" w:rsidRDefault="00251EC8" w:rsidP="004A309A">
      <w:pPr>
        <w:pStyle w:val="Prrafodelista"/>
        <w:numPr>
          <w:ilvl w:val="0"/>
          <w:numId w:val="3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sean necesarias para el cumplimiento de su función, y las señaladas en otros ordenamientos jurídicos aplicables.</w:t>
      </w:r>
    </w:p>
    <w:p w14:paraId="7E955407" w14:textId="15F9011C" w:rsidR="00251EC8" w:rsidRDefault="00891470" w:rsidP="00251E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Son atribuciones del Secretario del Comité:</w:t>
      </w:r>
    </w:p>
    <w:p w14:paraId="41C5801D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orden del día;</w:t>
      </w:r>
    </w:p>
    <w:p w14:paraId="50D09DD8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el listado de asuntos que se tratarán;</w:t>
      </w:r>
    </w:p>
    <w:p w14:paraId="6E4441FB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Integrar los soportes documentales necesarios para la celebración de la sesión de que se trate;</w:t>
      </w:r>
    </w:p>
    <w:p w14:paraId="4BA42435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Remitir a cada integrante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>, previo a la celebración de cada sesión la documentación relacionada con los asuntos a tratar;</w:t>
      </w:r>
    </w:p>
    <w:p w14:paraId="730DDFFD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Auxiliar al Presidente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en el desarrollo de las sesiones;</w:t>
      </w:r>
    </w:p>
    <w:p w14:paraId="7656EBD6" w14:textId="77777777" w:rsidR="00F16FA9" w:rsidRDefault="00F16FA9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76559">
        <w:rPr>
          <w:sz w:val="24"/>
          <w:szCs w:val="24"/>
        </w:rPr>
        <w:t>Verificar la asistencia de</w:t>
      </w:r>
      <w:r>
        <w:rPr>
          <w:sz w:val="24"/>
          <w:szCs w:val="24"/>
        </w:rPr>
        <w:t xml:space="preserve"> los</w:t>
      </w:r>
      <w:r w:rsidRPr="00B76559">
        <w:rPr>
          <w:sz w:val="24"/>
          <w:szCs w:val="24"/>
        </w:rPr>
        <w:t xml:space="preserve"> integrantes en cada sesión</w:t>
      </w:r>
      <w:r>
        <w:rPr>
          <w:sz w:val="24"/>
          <w:szCs w:val="24"/>
        </w:rPr>
        <w:t>;</w:t>
      </w:r>
    </w:p>
    <w:p w14:paraId="7FA2658D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al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sobre el cumplimiento de los acuerdos tomados en el seno del mismo;</w:t>
      </w:r>
    </w:p>
    <w:p w14:paraId="141ED952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Vigilar que los acuerdos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se asienten en el acta de cada una de las sesiones, asegurándose que el archivo de documentos se integre y se mantenga actualizado;</w:t>
      </w:r>
    </w:p>
    <w:p w14:paraId="7E83E571" w14:textId="77777777" w:rsidR="00F16FA9" w:rsidRDefault="00F16FA9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76559">
        <w:rPr>
          <w:sz w:val="24"/>
          <w:szCs w:val="24"/>
        </w:rPr>
        <w:t>Elaborar el proyecto de acta correspondiente y circularlo entre los integrantes</w:t>
      </w:r>
    </w:p>
    <w:p w14:paraId="25062B45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Recabar al final de cada sesión las firmas</w:t>
      </w:r>
      <w:r w:rsidR="00F16FA9">
        <w:rPr>
          <w:rFonts w:ascii="Arial" w:hAnsi="Arial" w:cs="Arial"/>
        </w:rPr>
        <w:t xml:space="preserve"> del acta</w:t>
      </w:r>
      <w:r>
        <w:rPr>
          <w:rFonts w:ascii="Arial" w:hAnsi="Arial" w:cs="Arial"/>
        </w:rPr>
        <w:t xml:space="preserve"> de cada uno de los integrantes y asistentes a las sesiones del Comité; y </w:t>
      </w:r>
    </w:p>
    <w:p w14:paraId="78B6BC6C" w14:textId="77777777" w:rsidR="00891470" w:rsidRDefault="00891470" w:rsidP="004A309A">
      <w:pPr>
        <w:pStyle w:val="Prrafodelista"/>
        <w:numPr>
          <w:ilvl w:val="0"/>
          <w:numId w:val="4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Firmas las actas de los actos en lo que haya participado.</w:t>
      </w:r>
    </w:p>
    <w:p w14:paraId="15676A95" w14:textId="623DA266" w:rsidR="00891470" w:rsidRDefault="00891470" w:rsidP="00891470">
      <w:pPr>
        <w:spacing w:line="276" w:lineRule="auto"/>
        <w:ind w:left="120"/>
        <w:jc w:val="both"/>
        <w:rPr>
          <w:rFonts w:ascii="Arial" w:hAnsi="Arial" w:cs="Arial"/>
        </w:rPr>
      </w:pPr>
      <w:r w:rsidRPr="00891470"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Son atribuciones de los integrantes del Comité:</w:t>
      </w:r>
    </w:p>
    <w:p w14:paraId="3B70869C" w14:textId="77777777" w:rsidR="00891470" w:rsidRDefault="00891470" w:rsidP="00BA55DA">
      <w:pPr>
        <w:pStyle w:val="Prrafodelista"/>
        <w:numPr>
          <w:ilvl w:val="0"/>
          <w:numId w:val="6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Remitir al secretario antes de la sesión, los documentos relativos a los asuntos que se deban someter a consideración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>;</w:t>
      </w:r>
    </w:p>
    <w:p w14:paraId="66E8D627" w14:textId="77777777" w:rsidR="00891470" w:rsidRDefault="00891470" w:rsidP="00BA55DA">
      <w:pPr>
        <w:pStyle w:val="Prrafodelista"/>
        <w:numPr>
          <w:ilvl w:val="0"/>
          <w:numId w:val="6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orden del día y los documentos sobre los asuntos a tratar;</w:t>
      </w:r>
    </w:p>
    <w:p w14:paraId="0D6C7AF3" w14:textId="77777777" w:rsidR="00891470" w:rsidRDefault="00891470" w:rsidP="00BA55DA">
      <w:pPr>
        <w:pStyle w:val="Prrafodelista"/>
        <w:numPr>
          <w:ilvl w:val="0"/>
          <w:numId w:val="6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Emitir los comentarios fundados y motivados que estimen pertinentes, en el ámbito de sus respectivas competencias</w:t>
      </w:r>
      <w:r w:rsidR="00064BD9">
        <w:rPr>
          <w:rFonts w:ascii="Arial" w:hAnsi="Arial" w:cs="Arial"/>
        </w:rPr>
        <w:t>;</w:t>
      </w:r>
    </w:p>
    <w:p w14:paraId="15B57B85" w14:textId="77777777" w:rsidR="00064BD9" w:rsidRDefault="00064BD9" w:rsidP="00BA55DA">
      <w:pPr>
        <w:pStyle w:val="Prrafodelista"/>
        <w:numPr>
          <w:ilvl w:val="0"/>
          <w:numId w:val="6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Asistir a las sesiones del Comité a las que sean convocados; y</w:t>
      </w:r>
    </w:p>
    <w:p w14:paraId="6E505C7A" w14:textId="77777777" w:rsidR="00064BD9" w:rsidRDefault="00064BD9" w:rsidP="00BA55DA">
      <w:pPr>
        <w:pStyle w:val="Prrafodelista"/>
        <w:numPr>
          <w:ilvl w:val="0"/>
          <w:numId w:val="6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Firmar las actas de las sesiones en las que haya asistido.</w:t>
      </w:r>
    </w:p>
    <w:p w14:paraId="1BF8B93F" w14:textId="232C8676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 w:rsidRPr="00064BD9"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0</w:t>
      </w:r>
      <w:r w:rsidRPr="00064B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El Comité, se reunirá en sesión ordinaria cada tres meses.</w:t>
      </w:r>
    </w:p>
    <w:p w14:paraId="2FE7625B" w14:textId="6E9E511F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Para que el Comité pueda sesionar es necesario que estén presentes todos sus integrantes.</w:t>
      </w:r>
    </w:p>
    <w:p w14:paraId="5AB506F0" w14:textId="379C4DF2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 w:rsidRPr="00064BD9"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2</w:t>
      </w:r>
      <w:r w:rsidRPr="00064BD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El Presidente podrá convocar a sesión extraordinaria previa solicitud formulada por la mayoría de sus integrantes.</w:t>
      </w:r>
    </w:p>
    <w:p w14:paraId="6DD802C5" w14:textId="4936CC65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El Comité podrá invitar a los integrantes del Sistema Estatal Anticorrupción para el desahogo de sus reuniones, así como a las organizaciones de la sociedad civil.</w:t>
      </w:r>
    </w:p>
    <w:p w14:paraId="12EF3AC0" w14:textId="4183D481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ARTÍCULO 1</w:t>
      </w:r>
      <w:r w:rsidR="00AA568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Las determinaciones se tomarán por unanimidad o por mayoría de votos de sus integrantes.</w:t>
      </w:r>
    </w:p>
    <w:p w14:paraId="7EADA2E6" w14:textId="29A9D7FB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 w:rsidRPr="00064BD9"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5</w:t>
      </w:r>
      <w:r w:rsidRPr="00064B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El Sistema Municipal Anticorrupción, integrado por el Comité de Participación Ciudadana y el Comité, podrán reunirse las veces que así lo consideren, en los términos que ambos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>s lo determinen.</w:t>
      </w:r>
    </w:p>
    <w:p w14:paraId="664F58E0" w14:textId="7D16425E" w:rsidR="00064BD9" w:rsidRDefault="00064BD9" w:rsidP="00064BD9">
      <w:pPr>
        <w:spacing w:line="276" w:lineRule="auto"/>
        <w:ind w:left="120"/>
        <w:jc w:val="both"/>
        <w:rPr>
          <w:rFonts w:ascii="Arial" w:hAnsi="Arial" w:cs="Arial"/>
        </w:rPr>
      </w:pPr>
      <w:r w:rsidRPr="00064BD9"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6</w:t>
      </w:r>
      <w:r w:rsidRPr="00064B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Las sesiones del Comité </w:t>
      </w:r>
      <w:r w:rsidR="00B50E48">
        <w:rPr>
          <w:rFonts w:ascii="Arial" w:hAnsi="Arial" w:cs="Arial"/>
        </w:rPr>
        <w:t>se desarrollarán de la siguiente forma:</w:t>
      </w:r>
    </w:p>
    <w:p w14:paraId="0D116504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Ordinarias. Cada tres meses, salvo que no existan asuntos por tratar;</w:t>
      </w:r>
    </w:p>
    <w:p w14:paraId="6F5D038C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Extraordinarias. Cuando se requieran;</w:t>
      </w:r>
    </w:p>
    <w:p w14:paraId="5E5DFB6F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celebrarán cuando asistan todos los integrantes. En ausencia del presidente o de su suplente las sesiones no podrán llevarse a cabo;</w:t>
      </w:r>
    </w:p>
    <w:p w14:paraId="5683A89D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realizarán previa convocatoria y se desarrollarán conforme al orden del día enviado a los integrantes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>;</w:t>
      </w:r>
    </w:p>
    <w:p w14:paraId="13E88054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Sus acuerdos se tomarán por mayoría de votos o por unanimidad;</w:t>
      </w:r>
    </w:p>
    <w:p w14:paraId="598FE291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documentos correspondientes de cada sesión se entregarán previamente a los integrantes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conjuntamente con el orden del día, con una anticipación de al menos tres días para las ordinarias y un día para las extraordinarias;</w:t>
      </w:r>
    </w:p>
    <w:p w14:paraId="7FF3BC86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termino de cada sesión se levantará acta que será firmada por los integrantes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>;</w:t>
      </w:r>
    </w:p>
    <w:p w14:paraId="44945771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dicha acta se deberá señalar el sentido de los acuerdos tomados por los integrantes y los comentarios relevantes de cada caso; y</w:t>
      </w:r>
    </w:p>
    <w:p w14:paraId="09EB6026" w14:textId="77777777" w:rsidR="00B50E48" w:rsidRDefault="00B50E48" w:rsidP="00BA55DA">
      <w:pPr>
        <w:pStyle w:val="Prrafodelista"/>
        <w:numPr>
          <w:ilvl w:val="0"/>
          <w:numId w:val="7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invitados firmarán el acta como constancia de su participación.</w:t>
      </w:r>
    </w:p>
    <w:p w14:paraId="25D439F8" w14:textId="591644B9" w:rsidR="00F03E69" w:rsidRDefault="00B50E48" w:rsidP="00B50E48">
      <w:pPr>
        <w:spacing w:line="276" w:lineRule="auto"/>
        <w:jc w:val="both"/>
        <w:rPr>
          <w:rFonts w:ascii="Arial" w:hAnsi="Arial" w:cs="Arial"/>
        </w:rPr>
      </w:pPr>
      <w:r w:rsidRPr="00B50E48">
        <w:rPr>
          <w:rFonts w:ascii="Arial" w:hAnsi="Arial" w:cs="Arial"/>
          <w:b/>
        </w:rPr>
        <w:t>ARTÍCULO 1</w:t>
      </w:r>
      <w:r w:rsidR="00AA5688">
        <w:rPr>
          <w:rFonts w:ascii="Arial" w:hAnsi="Arial" w:cs="Arial"/>
          <w:b/>
        </w:rPr>
        <w:t>7</w:t>
      </w:r>
      <w:r w:rsidRPr="00B50E4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En las sesiones ordinarias y extraordinarias deberá incluirse dentro del orden del día, un punto relacionado con el seguimiento de acuerdos anteriores y uno correspondiente a asuntos generales</w:t>
      </w:r>
      <w:r w:rsidR="00F03E69">
        <w:rPr>
          <w:rFonts w:ascii="Arial" w:hAnsi="Arial" w:cs="Arial"/>
        </w:rPr>
        <w:t>.</w:t>
      </w:r>
    </w:p>
    <w:p w14:paraId="59C0A05B" w14:textId="4C35AB63" w:rsidR="00B50E48" w:rsidRDefault="00B50E48" w:rsidP="00B50E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50E48"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18</w:t>
      </w:r>
      <w:r w:rsidRPr="00B50E4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En la primera sesión de cada </w:t>
      </w:r>
      <w:r w:rsidR="004E4DF6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el Secretario presentará a la consideración de los integrantes del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el calendario de sesiones ordinarias; así como el programa anual de trabajo.</w:t>
      </w:r>
    </w:p>
    <w:p w14:paraId="4DD4A4EA" w14:textId="2F345FAF" w:rsidR="00B50E48" w:rsidRDefault="00B50E48" w:rsidP="00B50E48">
      <w:pPr>
        <w:spacing w:line="276" w:lineRule="auto"/>
        <w:jc w:val="both"/>
        <w:rPr>
          <w:rFonts w:ascii="Arial" w:hAnsi="Arial" w:cs="Arial"/>
        </w:rPr>
      </w:pPr>
      <w:r w:rsidRPr="00B50E48"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19</w:t>
      </w:r>
      <w:r w:rsidRPr="00B50E48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El </w:t>
      </w:r>
      <w:r w:rsidR="004A309A">
        <w:rPr>
          <w:rFonts w:ascii="Arial" w:hAnsi="Arial" w:cs="Arial"/>
        </w:rPr>
        <w:t>Comité</w:t>
      </w:r>
      <w:r>
        <w:rPr>
          <w:rFonts w:ascii="Arial" w:hAnsi="Arial" w:cs="Arial"/>
        </w:rPr>
        <w:t xml:space="preserve"> deberá decidir y tomar las medidas necesarias, respecto de las propuestas emitidas por el Comité de Participación Ciudadana, respecto de: </w:t>
      </w:r>
    </w:p>
    <w:p w14:paraId="71C78763" w14:textId="77777777" w:rsidR="00D215C8" w:rsidRDefault="00D215C8" w:rsidP="006E6482">
      <w:pPr>
        <w:pStyle w:val="Prrafodelista"/>
        <w:numPr>
          <w:ilvl w:val="0"/>
          <w:numId w:val="8"/>
        </w:numPr>
        <w:spacing w:line="276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Proyectos de bases de coordinación interinstitucional e intergubernamental en las materias de fiscalización y control de recursos públicos, de prevención, control y disuasión de faltas administrativas y hechos de corrupción, en especial sobre las causas que los generan.</w:t>
      </w:r>
    </w:p>
    <w:p w14:paraId="0EA1CDC4" w14:textId="77777777" w:rsidR="00D215C8" w:rsidRPr="006E6482" w:rsidRDefault="00D215C8" w:rsidP="006E6482">
      <w:pPr>
        <w:pStyle w:val="Prrafodelista"/>
        <w:numPr>
          <w:ilvl w:val="0"/>
          <w:numId w:val="8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E6482">
        <w:rPr>
          <w:rFonts w:ascii="Arial" w:hAnsi="Arial" w:cs="Arial"/>
        </w:rPr>
        <w:t>Proyecto de mejora a los instrumentos, lineamientos y mecanismos para el suministro, intercambio, sistematización y actualización de la información que generen las autoridades municipales competentes en las materias reguladas por la presente Ley.</w:t>
      </w:r>
    </w:p>
    <w:p w14:paraId="705F81C9" w14:textId="77777777" w:rsidR="00D215C8" w:rsidRPr="006E6482" w:rsidRDefault="00D215C8" w:rsidP="006E6482">
      <w:pPr>
        <w:pStyle w:val="Prrafodelista"/>
        <w:numPr>
          <w:ilvl w:val="0"/>
          <w:numId w:val="8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E6482">
        <w:rPr>
          <w:rFonts w:ascii="Arial" w:hAnsi="Arial" w:cs="Arial"/>
        </w:rPr>
        <w:t>Proyectos de mejora a los instrumentos, lineamientos y mecanismos requeridos para la operación del sistema electrónico municipal de quejas y denuncias.</w:t>
      </w:r>
    </w:p>
    <w:p w14:paraId="1B02F4F5" w14:textId="77777777" w:rsidR="00D215C8" w:rsidRPr="006E6482" w:rsidRDefault="00D215C8" w:rsidP="006E6482">
      <w:pPr>
        <w:pStyle w:val="Prrafodelista"/>
        <w:numPr>
          <w:ilvl w:val="0"/>
          <w:numId w:val="8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E6482">
        <w:rPr>
          <w:rFonts w:ascii="Arial" w:hAnsi="Arial" w:cs="Arial"/>
        </w:rPr>
        <w:lastRenderedPageBreak/>
        <w:t>Mecanismos para que la sociedad participe en la prevención y denuncia de faltas administrativas y hechos de corrupción.</w:t>
      </w:r>
    </w:p>
    <w:p w14:paraId="5B7C1512" w14:textId="77777777" w:rsidR="00D215C8" w:rsidRPr="006E6482" w:rsidRDefault="00D215C8" w:rsidP="006E6482">
      <w:pPr>
        <w:pStyle w:val="Prrafodelista"/>
        <w:numPr>
          <w:ilvl w:val="0"/>
          <w:numId w:val="8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6E6482">
        <w:rPr>
          <w:rFonts w:ascii="Arial" w:hAnsi="Arial" w:cs="Arial"/>
        </w:rPr>
        <w:t>Indicadores y metodologías para la medición y seguimiento del fenómeno de la corrupción, así como para la evaluación del cumplimiento de los objetivos y metas de la Política Municipal en la materia, las Políticas integrales y los programas y acciones que implementen las autoridades que conforman el Sistema Estatal Anticorrupción.</w:t>
      </w:r>
    </w:p>
    <w:p w14:paraId="42414AFA" w14:textId="423CD45C" w:rsidR="00D215C8" w:rsidRDefault="00D215C8" w:rsidP="006E6482">
      <w:pPr>
        <w:spacing w:line="276" w:lineRule="auto"/>
        <w:jc w:val="both"/>
        <w:rPr>
          <w:rFonts w:ascii="Arial" w:hAnsi="Arial" w:cs="Arial"/>
        </w:rPr>
      </w:pPr>
      <w:r w:rsidRPr="00D215C8">
        <w:rPr>
          <w:rFonts w:ascii="Arial" w:hAnsi="Arial" w:cs="Arial"/>
          <w:b/>
        </w:rPr>
        <w:t xml:space="preserve">ARTÍCULO </w:t>
      </w:r>
      <w:r w:rsidR="00AA568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El Comité para mejor desempeño de sus funciones, podrá asesorarse del Sistema Estatal Anticorrupción, a fin de allegarse de información necesaria sobre la materia de los asuntos que se traten al seno del mismo.</w:t>
      </w:r>
    </w:p>
    <w:p w14:paraId="5DE620D3" w14:textId="77777777" w:rsidR="00D215C8" w:rsidRPr="00D215C8" w:rsidRDefault="00D215C8" w:rsidP="00D215C8">
      <w:pPr>
        <w:spacing w:line="276" w:lineRule="auto"/>
        <w:jc w:val="both"/>
        <w:rPr>
          <w:rFonts w:ascii="Arial" w:hAnsi="Arial" w:cs="Arial"/>
          <w:b/>
        </w:rPr>
      </w:pPr>
      <w:r w:rsidRPr="00D215C8">
        <w:rPr>
          <w:rFonts w:ascii="Arial" w:hAnsi="Arial" w:cs="Arial"/>
          <w:b/>
        </w:rPr>
        <w:t xml:space="preserve"> </w:t>
      </w:r>
    </w:p>
    <w:p w14:paraId="60862DD8" w14:textId="77777777" w:rsidR="00064BD9" w:rsidRPr="006E6482" w:rsidRDefault="00D215C8" w:rsidP="00D215C8">
      <w:pPr>
        <w:spacing w:line="276" w:lineRule="auto"/>
        <w:ind w:left="120"/>
        <w:jc w:val="center"/>
        <w:rPr>
          <w:rFonts w:ascii="Arial" w:hAnsi="Arial" w:cs="Arial"/>
          <w:b/>
        </w:rPr>
      </w:pPr>
      <w:r w:rsidRPr="006E6482">
        <w:rPr>
          <w:rFonts w:ascii="Arial" w:hAnsi="Arial" w:cs="Arial"/>
          <w:b/>
        </w:rPr>
        <w:t>TRANSITORIOS</w:t>
      </w:r>
    </w:p>
    <w:p w14:paraId="1699A697" w14:textId="77777777" w:rsidR="00D215C8" w:rsidRDefault="00D215C8" w:rsidP="00D215C8">
      <w:pPr>
        <w:spacing w:line="276" w:lineRule="auto"/>
        <w:ind w:left="120"/>
        <w:jc w:val="both"/>
        <w:rPr>
          <w:rFonts w:ascii="Arial" w:hAnsi="Arial" w:cs="Arial"/>
        </w:rPr>
      </w:pPr>
      <w:r w:rsidRPr="006E6482">
        <w:rPr>
          <w:rFonts w:ascii="Arial" w:hAnsi="Arial" w:cs="Arial"/>
          <w:b/>
        </w:rPr>
        <w:t>Primero.</w:t>
      </w:r>
      <w:r w:rsidR="006E6482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Publíquense los presentes Lineamientos en el Periódico Oficial “Gaceta Municipal”.  </w:t>
      </w:r>
    </w:p>
    <w:p w14:paraId="1F98B0A5" w14:textId="77777777" w:rsidR="00D215C8" w:rsidRPr="00064BD9" w:rsidRDefault="00712627" w:rsidP="00D215C8">
      <w:pPr>
        <w:spacing w:line="276" w:lineRule="auto"/>
        <w:ind w:left="120"/>
        <w:jc w:val="both"/>
        <w:rPr>
          <w:rFonts w:ascii="Arial" w:hAnsi="Arial" w:cs="Arial"/>
        </w:rPr>
      </w:pPr>
      <w:r w:rsidRPr="006E6482">
        <w:rPr>
          <w:rFonts w:ascii="Arial" w:hAnsi="Arial" w:cs="Arial"/>
          <w:b/>
        </w:rPr>
        <w:t>Segundo.</w:t>
      </w:r>
      <w:r w:rsidR="006E6482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Los presentes Lineamientos entrarán en vigor al día hábil siguiente de su publicación.</w:t>
      </w:r>
    </w:p>
    <w:p w14:paraId="3FBD6FDA" w14:textId="77777777" w:rsidR="00685313" w:rsidRPr="00685313" w:rsidRDefault="00685313" w:rsidP="00685313">
      <w:pPr>
        <w:spacing w:line="276" w:lineRule="auto"/>
        <w:jc w:val="both"/>
        <w:rPr>
          <w:rFonts w:ascii="Arial" w:hAnsi="Arial" w:cs="Arial"/>
          <w:b/>
        </w:rPr>
      </w:pPr>
    </w:p>
    <w:sectPr w:rsidR="00685313" w:rsidRPr="00685313" w:rsidSect="0067185B">
      <w:headerReference w:type="default" r:id="rId7"/>
      <w:pgSz w:w="12240" w:h="15840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F44D" w14:textId="77777777" w:rsidR="00CD5A74" w:rsidRDefault="00CD5A74" w:rsidP="0067185B">
      <w:pPr>
        <w:spacing w:after="0" w:line="240" w:lineRule="auto"/>
      </w:pPr>
      <w:r>
        <w:separator/>
      </w:r>
    </w:p>
  </w:endnote>
  <w:endnote w:type="continuationSeparator" w:id="0">
    <w:p w14:paraId="7057D116" w14:textId="77777777" w:rsidR="00CD5A74" w:rsidRDefault="00CD5A74" w:rsidP="006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FEDA" w14:textId="77777777" w:rsidR="00CD5A74" w:rsidRDefault="00CD5A74" w:rsidP="0067185B">
      <w:pPr>
        <w:spacing w:after="0" w:line="240" w:lineRule="auto"/>
      </w:pPr>
      <w:r>
        <w:separator/>
      </w:r>
    </w:p>
  </w:footnote>
  <w:footnote w:type="continuationSeparator" w:id="0">
    <w:p w14:paraId="707203DC" w14:textId="77777777" w:rsidR="00CD5A74" w:rsidRDefault="00CD5A74" w:rsidP="006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2B5" w14:textId="77777777" w:rsidR="0067185B" w:rsidRDefault="00000000">
    <w:pPr>
      <w:pStyle w:val="Encabezado"/>
    </w:pPr>
    <w:r>
      <w:rPr>
        <w:noProof/>
      </w:rPr>
      <w:pict w14:anchorId="32C2D8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35923" o:spid="_x0000_s1025" type="#_x0000_t136" style="position:absolute;margin-left:0;margin-top:0;width:472.4pt;height:177.15pt;rotation:315;z-index:-251658752;mso-position-horizontal:center;mso-position-horizontal-relative:margin;mso-position-vertical:center;mso-position-vertical-relative:margin" o:allowincell="f" fillcolor="#f7caac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CB9"/>
    <w:multiLevelType w:val="hybridMultilevel"/>
    <w:tmpl w:val="E18C5CB4"/>
    <w:lvl w:ilvl="0" w:tplc="27EE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1D9"/>
    <w:multiLevelType w:val="hybridMultilevel"/>
    <w:tmpl w:val="01C089B0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16426D"/>
    <w:multiLevelType w:val="hybridMultilevel"/>
    <w:tmpl w:val="31F619DC"/>
    <w:lvl w:ilvl="0" w:tplc="6B3E920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D6A1F07"/>
    <w:multiLevelType w:val="hybridMultilevel"/>
    <w:tmpl w:val="6764CC42"/>
    <w:lvl w:ilvl="0" w:tplc="B8DC7D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2BF"/>
    <w:multiLevelType w:val="hybridMultilevel"/>
    <w:tmpl w:val="1F962B4C"/>
    <w:lvl w:ilvl="0" w:tplc="01660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6BC"/>
    <w:multiLevelType w:val="hybridMultilevel"/>
    <w:tmpl w:val="96BC3AE8"/>
    <w:lvl w:ilvl="0" w:tplc="6B3E920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83424"/>
    <w:multiLevelType w:val="hybridMultilevel"/>
    <w:tmpl w:val="F1A259A6"/>
    <w:lvl w:ilvl="0" w:tplc="6B3E920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9B4"/>
    <w:multiLevelType w:val="hybridMultilevel"/>
    <w:tmpl w:val="007A967E"/>
    <w:lvl w:ilvl="0" w:tplc="CB78597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0E3AC0"/>
    <w:multiLevelType w:val="hybridMultilevel"/>
    <w:tmpl w:val="4D1C8564"/>
    <w:lvl w:ilvl="0" w:tplc="6B3E920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89465">
    <w:abstractNumId w:val="4"/>
  </w:num>
  <w:num w:numId="2" w16cid:durableId="754866561">
    <w:abstractNumId w:val="3"/>
  </w:num>
  <w:num w:numId="3" w16cid:durableId="879242749">
    <w:abstractNumId w:val="7"/>
  </w:num>
  <w:num w:numId="4" w16cid:durableId="1456682721">
    <w:abstractNumId w:val="5"/>
  </w:num>
  <w:num w:numId="5" w16cid:durableId="1358189801">
    <w:abstractNumId w:val="1"/>
  </w:num>
  <w:num w:numId="6" w16cid:durableId="46727295">
    <w:abstractNumId w:val="8"/>
  </w:num>
  <w:num w:numId="7" w16cid:durableId="2127499529">
    <w:abstractNumId w:val="2"/>
  </w:num>
  <w:num w:numId="8" w16cid:durableId="1808622428">
    <w:abstractNumId w:val="6"/>
  </w:num>
  <w:num w:numId="9" w16cid:durableId="66089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3"/>
    <w:rsid w:val="00064BD9"/>
    <w:rsid w:val="000D1CB9"/>
    <w:rsid w:val="001E63FF"/>
    <w:rsid w:val="00250132"/>
    <w:rsid w:val="00251EC8"/>
    <w:rsid w:val="003877A1"/>
    <w:rsid w:val="00422759"/>
    <w:rsid w:val="004826BA"/>
    <w:rsid w:val="004A309A"/>
    <w:rsid w:val="004E4DF6"/>
    <w:rsid w:val="0058600D"/>
    <w:rsid w:val="005F50A4"/>
    <w:rsid w:val="0067185B"/>
    <w:rsid w:val="00685313"/>
    <w:rsid w:val="006E6482"/>
    <w:rsid w:val="00712627"/>
    <w:rsid w:val="00770A44"/>
    <w:rsid w:val="007922C3"/>
    <w:rsid w:val="00891470"/>
    <w:rsid w:val="00A05913"/>
    <w:rsid w:val="00AA5688"/>
    <w:rsid w:val="00AC33C0"/>
    <w:rsid w:val="00B50E48"/>
    <w:rsid w:val="00B70750"/>
    <w:rsid w:val="00B81BEA"/>
    <w:rsid w:val="00BA55DA"/>
    <w:rsid w:val="00BC4448"/>
    <w:rsid w:val="00CD5A74"/>
    <w:rsid w:val="00D215C8"/>
    <w:rsid w:val="00D46E42"/>
    <w:rsid w:val="00DA3C05"/>
    <w:rsid w:val="00DC4841"/>
    <w:rsid w:val="00E26AE8"/>
    <w:rsid w:val="00F03E69"/>
    <w:rsid w:val="00F16FA9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DE527"/>
  <w15:chartTrackingRefBased/>
  <w15:docId w15:val="{D2BAF26B-3543-443F-AF74-C38FA12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313"/>
    <w:pPr>
      <w:ind w:left="720"/>
      <w:contextualSpacing/>
    </w:pPr>
  </w:style>
  <w:style w:type="character" w:customStyle="1" w:styleId="highlight">
    <w:name w:val="highlight"/>
    <w:basedOn w:val="Fuentedeprrafopredeter"/>
    <w:rsid w:val="001E63FF"/>
  </w:style>
  <w:style w:type="paragraph" w:styleId="Textodeglobo">
    <w:name w:val="Balloon Text"/>
    <w:basedOn w:val="Normal"/>
    <w:link w:val="TextodegloboCar"/>
    <w:uiPriority w:val="99"/>
    <w:semiHidden/>
    <w:unhideWhenUsed/>
    <w:rsid w:val="0071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62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C44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4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4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4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4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7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85B"/>
  </w:style>
  <w:style w:type="paragraph" w:styleId="Piedepgina">
    <w:name w:val="footer"/>
    <w:basedOn w:val="Normal"/>
    <w:link w:val="PiedepginaCar"/>
    <w:uiPriority w:val="99"/>
    <w:unhideWhenUsed/>
    <w:rsid w:val="0067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85B"/>
  </w:style>
  <w:style w:type="paragraph" w:styleId="Revisin">
    <w:name w:val="Revision"/>
    <w:hidden/>
    <w:uiPriority w:val="99"/>
    <w:semiHidden/>
    <w:rsid w:val="00671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2011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Antonio Torres Granados</dc:creator>
  <cp:keywords/>
  <dc:description/>
  <cp:lastModifiedBy>Licencia SESAEMM 19</cp:lastModifiedBy>
  <cp:revision>10</cp:revision>
  <cp:lastPrinted>2019-04-22T18:03:00Z</cp:lastPrinted>
  <dcterms:created xsi:type="dcterms:W3CDTF">2019-04-22T18:29:00Z</dcterms:created>
  <dcterms:modified xsi:type="dcterms:W3CDTF">2023-10-23T20:48:00Z</dcterms:modified>
</cp:coreProperties>
</file>